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9641" w14:textId="0D04B0CE" w:rsidR="00FA1E68" w:rsidRPr="0013413D" w:rsidRDefault="00B67272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3"/>
        </w:rPr>
      </w:pPr>
      <w:r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WAVE DRAG COEFFICIENT USEFUL FOR NATURE</w:t>
      </w:r>
      <w:r w:rsidR="00285E21">
        <w:rPr>
          <w:rFonts w:ascii="Microsoft Sans Serif" w:eastAsia="Microsoft Sans Serif" w:hAnsi="Microsoft Sans Serif" w:cs="Microsoft Sans Serif"/>
          <w:b/>
          <w:spacing w:val="1"/>
          <w:sz w:val="24"/>
          <w:szCs w:val="23"/>
        </w:rPr>
        <w:t>: SEAGRASS-BASED COASTAL PROTECTION DESIGN IN ESTUARIES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3A1B934D" w14:textId="6EC1CD00" w:rsidR="00FA1E68" w:rsidRPr="00977636" w:rsidRDefault="002F2BDC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sz w:val="18"/>
          <w:szCs w:val="17"/>
          <w:u w:val="single"/>
        </w:rPr>
        <w:t>Alice Twomey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University of Queensland</w:t>
      </w:r>
      <w:r w:rsidR="008B6510" w:rsidRPr="00977636">
        <w:rPr>
          <w:rFonts w:ascii="Microsoft Sans Serif" w:eastAsia="Microsoft Sans Serif" w:hAnsi="Microsoft Sans Serif" w:cs="Microsoft Sans Serif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2"/>
          <w:sz w:val="18"/>
          <w:szCs w:val="17"/>
        </w:rPr>
        <w:t xml:space="preserve"> </w:t>
      </w:r>
      <w:hyperlink r:id="rId6" w:history="1">
        <w:r w:rsidRPr="00A850AD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a.twomey@uq.edu.au</w:t>
        </w:r>
      </w:hyperlink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4EEEBE13" w14:textId="3508740D" w:rsidR="00FA1E68" w:rsidRDefault="002F2BDC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Katherine O’Brien</w:t>
      </w:r>
      <w:r w:rsidR="008B6510"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1"/>
          <w:position w:val="-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University of Queensland</w:t>
      </w:r>
      <w:r w:rsidR="008B6510"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="008B6510" w:rsidRPr="00977636"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</w:rPr>
        <w:t xml:space="preserve"> </w:t>
      </w:r>
      <w:hyperlink r:id="rId7" w:history="1">
        <w:r w:rsidRPr="00A850AD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k.obrien@uq.edu.au</w:t>
        </w:r>
      </w:hyperlink>
      <w:r w:rsidR="00996A43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26AF35C1" w14:textId="4295ED91" w:rsidR="002F2BDC" w:rsidRPr="00977636" w:rsidRDefault="002F2BDC" w:rsidP="002F2BDC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David Callaghan</w:t>
      </w:r>
      <w:r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1"/>
          <w:position w:val="-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18"/>
          <w:szCs w:val="17"/>
        </w:rPr>
        <w:t>The University of Queensland</w:t>
      </w:r>
      <w:r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</w:rPr>
        <w:t xml:space="preserve"> </w:t>
      </w:r>
      <w:hyperlink r:id="rId8" w:history="1">
        <w:r w:rsidRPr="00A850AD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dave.callaghan@uq.edu.au</w:t>
        </w:r>
      </w:hyperlink>
      <w:r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5572D753" w14:textId="4410F63E" w:rsidR="002F2BDC" w:rsidRPr="00977636" w:rsidRDefault="002F2BDC" w:rsidP="002F2BDC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Megan Saunders</w:t>
      </w:r>
      <w:r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1"/>
          <w:position w:val="-1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-1"/>
          <w:sz w:val="18"/>
          <w:szCs w:val="17"/>
        </w:rPr>
        <w:t>Oceans and Atmosphere, CSIRO</w:t>
      </w:r>
      <w:r w:rsidRPr="00977636">
        <w:rPr>
          <w:rFonts w:ascii="Microsoft Sans Serif" w:eastAsia="Microsoft Sans Serif" w:hAnsi="Microsoft Sans Serif" w:cs="Microsoft Sans Serif"/>
          <w:position w:val="-1"/>
          <w:sz w:val="18"/>
          <w:szCs w:val="17"/>
        </w:rPr>
        <w:t>,</w:t>
      </w:r>
      <w:r w:rsidRPr="00977636">
        <w:rPr>
          <w:rFonts w:ascii="Microsoft Sans Serif" w:eastAsia="Microsoft Sans Serif" w:hAnsi="Microsoft Sans Serif" w:cs="Microsoft Sans Serif"/>
          <w:spacing w:val="27"/>
          <w:position w:val="-1"/>
          <w:sz w:val="18"/>
          <w:szCs w:val="17"/>
        </w:rPr>
        <w:t xml:space="preserve"> </w:t>
      </w:r>
      <w:hyperlink r:id="rId9" w:history="1">
        <w:r w:rsidRPr="00A850AD">
          <w:rPr>
            <w:rStyle w:val="Hyperlink"/>
            <w:rFonts w:ascii="Microsoft Sans Serif" w:eastAsia="Microsoft Sans Serif" w:hAnsi="Microsoft Sans Serif" w:cs="Microsoft Sans Serif"/>
            <w:spacing w:val="-1"/>
            <w:sz w:val="18"/>
            <w:szCs w:val="17"/>
          </w:rPr>
          <w:t>megan.saunders@csiro.au</w:t>
        </w:r>
      </w:hyperlink>
      <w:r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 xml:space="preserve"> </w:t>
      </w:r>
    </w:p>
    <w:p w14:paraId="71369158" w14:textId="77777777" w:rsidR="002F2BDC" w:rsidRPr="00977636" w:rsidRDefault="002F2BDC" w:rsidP="00977636">
      <w:pPr>
        <w:spacing w:after="0" w:line="240" w:lineRule="auto"/>
        <w:ind w:right="99"/>
        <w:jc w:val="center"/>
        <w:rPr>
          <w:rFonts w:ascii="Microsoft Sans Serif" w:eastAsia="Microsoft Sans Serif" w:hAnsi="Microsoft Sans Serif" w:cs="Microsoft Sans Serif"/>
          <w:sz w:val="18"/>
          <w:szCs w:val="17"/>
        </w:rPr>
      </w:pPr>
    </w:p>
    <w:p w14:paraId="37FEB538" w14:textId="77777777" w:rsidR="00FA1E68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Default="00FA1E68">
      <w:pPr>
        <w:spacing w:after="0"/>
        <w:sectPr w:rsidR="00FA1E68" w:rsidSect="004007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3EF41232" w14:textId="304AAF90" w:rsidR="006367F3" w:rsidRDefault="006367F3" w:rsidP="006367F3">
      <w:pPr>
        <w:rPr>
          <w:rFonts w:ascii="Microsoft Sans Serif" w:eastAsia="Microsoft Sans Serif" w:hAnsi="Microsoft Sans Serif" w:cs="Microsoft Sans Serif"/>
          <w:w w:val="102"/>
          <w:sz w:val="18"/>
          <w:szCs w:val="17"/>
        </w:rPr>
      </w:pP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Globally, more than 100 million people live within the low elevation coastal zone</w:t>
      </w:r>
      <w:r w:rsidR="0071000F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which is increasingly 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at risk of flooding and erosion due to sea-level rise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. </w:t>
      </w:r>
      <w:r w:rsidR="008B2F9C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W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ave attenuation provided by c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oastal ecosystems</w:t>
      </w:r>
      <w:r w:rsidR="0071000F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including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seagrass, </w:t>
      </w:r>
      <w:r w:rsidR="00566F4C"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mangroves,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and saltmarsh</w:t>
      </w:r>
      <w:r w:rsidR="0071000F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has been well studied in coastal engineering literature, but results are often not comparable due to differences in experimental methods</w:t>
      </w:r>
      <w:r w:rsidR="0053617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, 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repor</w:t>
      </w:r>
      <w:r w:rsidR="00D7657C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ting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units</w:t>
      </w:r>
      <w:r w:rsidR="0053617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and a lack of complete published datasets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</w:p>
    <w:p w14:paraId="346AD2A5" w14:textId="663DEDCF" w:rsidR="006367F3" w:rsidRPr="00D2145E" w:rsidRDefault="006367F3" w:rsidP="006367F3">
      <w:pPr>
        <w:rPr>
          <w:rFonts w:ascii="Microsoft Sans Serif" w:eastAsia="Microsoft Sans Serif" w:hAnsi="Microsoft Sans Serif" w:cs="Microsoft Sans Serif"/>
          <w:w w:val="102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Many coastal ecology and conservation studies aim to </w:t>
      </w:r>
      <w:r w:rsidR="00B06A3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qualitatively 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quantify the value of these ecosystems for coastal protection</w:t>
      </w:r>
      <w:r w:rsidR="005E1658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 However,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="009161B3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without data reported in a comparable format</w:t>
      </w:r>
      <w:r w:rsidR="00B06A3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 quantitative</w:t>
      </w:r>
      <w:r w:rsidR="004D36B0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values 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are not finding their way into the ecology literature</w:t>
      </w:r>
      <w:r w:rsidR="0071000F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</w:t>
      </w:r>
      <w:r w:rsidR="009161B3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contributing to </w:t>
      </w:r>
      <w:r w:rsidR="006417ED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the misconception that ‘rules of thumb’ exist for predicting coastal protection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</w:p>
    <w:p w14:paraId="011FCC8D" w14:textId="69966867" w:rsidR="006367F3" w:rsidRPr="00D2145E" w:rsidRDefault="006367F3" w:rsidP="006367F3">
      <w:pPr>
        <w:rPr>
          <w:rFonts w:ascii="Microsoft Sans Serif" w:eastAsia="Microsoft Sans Serif" w:hAnsi="Microsoft Sans Serif" w:cs="Microsoft Sans Serif"/>
          <w:w w:val="102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To alleviate the challenges of non-comparable data and incomplete datasets, t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he drag coefficient (</w:t>
      </w:r>
      <w:r w:rsidRPr="00D2145E">
        <w:rPr>
          <w:rFonts w:ascii="Microsoft Sans Serif" w:eastAsia="Microsoft Sans Serif" w:hAnsi="Microsoft Sans Serif" w:cs="Microsoft Sans Serif"/>
          <w:i/>
          <w:iCs/>
          <w:w w:val="102"/>
          <w:sz w:val="18"/>
          <w:szCs w:val="17"/>
        </w:rPr>
        <w:t>C</w:t>
      </w:r>
      <w:r w:rsidRPr="00D2145E">
        <w:rPr>
          <w:rFonts w:ascii="Microsoft Sans Serif" w:eastAsia="Microsoft Sans Serif" w:hAnsi="Microsoft Sans Serif" w:cs="Microsoft Sans Serif"/>
          <w:i/>
          <w:iCs/>
          <w:w w:val="102"/>
          <w:sz w:val="18"/>
          <w:szCs w:val="17"/>
          <w:vertAlign w:val="subscript"/>
        </w:rPr>
        <w:t>D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) is a useful tool to quantify and compare wave attenuation provided by different ecosystems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 U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sing seagrass as a case study, </w:t>
      </w:r>
      <w:r w:rsidR="008D3CC7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w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e 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conducted a meta-analysis </w:t>
      </w:r>
      <w:r w:rsidR="008267A4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of 119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seagrass-wave attenuation studies both in the field and in lab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oratory experiments</w:t>
      </w:r>
      <w:r w:rsidR="0071000F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="008267A4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of which 11</w:t>
      </w:r>
      <w:r w:rsidR="00D84777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were eligible for inclusion in our study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D2145E">
        <w:rPr>
          <w:rFonts w:ascii="Microsoft Sans Serif" w:eastAsia="Microsoft Sans Serif" w:hAnsi="Microsoft Sans Serif" w:cs="Microsoft Sans Serif"/>
          <w:noProof/>
          <w:w w:val="102"/>
          <w:sz w:val="18"/>
          <w:szCs w:val="17"/>
        </w:rPr>
        <w:t>(Twomey et al., 2020)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="00D84777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For each dataset</w:t>
      </w:r>
      <w:r w:rsidR="0071000F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</w:t>
      </w:r>
      <w:r w:rsidR="00D84777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w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e calculated</w:t>
      </w:r>
      <w:r w:rsidR="00D84777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missing values </w:t>
      </w:r>
      <w:r w:rsidR="0071000F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and </w:t>
      </w:r>
      <w:r w:rsidR="00D84777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determined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the drag coefficient using</w:t>
      </w:r>
      <w:r w:rsidR="005D7291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the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D2145E">
        <w:rPr>
          <w:rFonts w:ascii="Microsoft Sans Serif" w:eastAsia="Microsoft Sans Serif" w:hAnsi="Microsoft Sans Serif" w:cs="Microsoft Sans Serif"/>
          <w:noProof/>
          <w:w w:val="102"/>
          <w:sz w:val="18"/>
          <w:szCs w:val="17"/>
        </w:rPr>
        <w:t>Dalrymple et al. (1984)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="009E2B7B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model for energy dissipation by rigid cylinders 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accounting for vertical variations in vegetation (</w:t>
      </w:r>
      <w:r w:rsidR="009E2B7B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shoot height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 width, density).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="00B67272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For typical seagrass found in the tropics</w:t>
      </w:r>
      <w:r w:rsidR="006D066F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and subtropics</w:t>
      </w:r>
      <w:r w:rsidR="00B67272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 d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rag coefficients varied from 0.02-5.12 with an average </w:t>
      </w:r>
      <w:r w:rsidRPr="00D2145E">
        <w:rPr>
          <w:rFonts w:ascii="Microsoft Sans Serif" w:eastAsia="Microsoft Sans Serif" w:hAnsi="Microsoft Sans Serif" w:cs="Microsoft Sans Serif"/>
          <w:i/>
          <w:iCs/>
          <w:w w:val="102"/>
          <w:sz w:val="18"/>
          <w:szCs w:val="17"/>
        </w:rPr>
        <w:t>C</w:t>
      </w:r>
      <w:r w:rsidRPr="00D2145E">
        <w:rPr>
          <w:rFonts w:ascii="Microsoft Sans Serif" w:eastAsia="Microsoft Sans Serif" w:hAnsi="Microsoft Sans Serif" w:cs="Microsoft Sans Serif"/>
          <w:i/>
          <w:iCs/>
          <w:w w:val="102"/>
          <w:sz w:val="18"/>
          <w:szCs w:val="17"/>
          <w:vertAlign w:val="subscript"/>
        </w:rPr>
        <w:t>D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of 0.74.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By 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differing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the </w:t>
      </w:r>
      <w:r w:rsidR="005D7291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ten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variables used to calculate </w:t>
      </w:r>
      <w:r w:rsidRPr="00D2145E">
        <w:rPr>
          <w:rFonts w:ascii="Microsoft Sans Serif" w:eastAsia="Microsoft Sans Serif" w:hAnsi="Microsoft Sans Serif" w:cs="Microsoft Sans Serif"/>
          <w:i/>
          <w:iCs/>
          <w:w w:val="102"/>
          <w:sz w:val="18"/>
          <w:szCs w:val="17"/>
        </w:rPr>
        <w:t>C</w:t>
      </w:r>
      <w:r w:rsidRPr="00D2145E">
        <w:rPr>
          <w:rFonts w:ascii="Microsoft Sans Serif" w:eastAsia="Microsoft Sans Serif" w:hAnsi="Microsoft Sans Serif" w:cs="Microsoft Sans Serif"/>
          <w:i/>
          <w:iCs/>
          <w:w w:val="102"/>
          <w:sz w:val="18"/>
          <w:szCs w:val="17"/>
          <w:vertAlign w:val="subscript"/>
        </w:rPr>
        <w:t>D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, this work graphically illustrates that there is no </w:t>
      </w:r>
      <w:r w:rsidR="000B4729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simple 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rule of thumb for predicting the wave attenuation provided by coastal ecosystems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(Figure 1)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. Specifically, the wave period, meadow length, sho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o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t density, shoot </w:t>
      </w:r>
      <w:r w:rsidR="00566F4C"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width,</w:t>
      </w:r>
      <w:r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and canopy height were identified as affecting the attenuation provided by the ecosystem.</w:t>
      </w:r>
    </w:p>
    <w:p w14:paraId="6A4D8A6E" w14:textId="518D7D68" w:rsidR="00AE08B8" w:rsidRPr="000F674F" w:rsidRDefault="00FB2698" w:rsidP="000F674F">
      <w:pPr>
        <w:rPr>
          <w:rFonts w:ascii="Microsoft Sans Serif" w:eastAsia="Microsoft Sans Serif" w:hAnsi="Microsoft Sans Serif" w:cs="Microsoft Sans Serif"/>
          <w:w w:val="102"/>
          <w:sz w:val="18"/>
          <w:szCs w:val="17"/>
        </w:rPr>
      </w:pP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Whilst providing a </w:t>
      </w:r>
      <w:r w:rsidR="00A630AB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valuable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framework </w:t>
      </w:r>
      <w:r w:rsidR="0029161C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for coastal engineers 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for </w:t>
      </w:r>
      <w:r w:rsidR="005D7291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comparing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wave attenuation studies using different species</w:t>
      </w:r>
      <w:r w:rsidR="00886EA6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, 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location</w:t>
      </w:r>
      <w:r w:rsidR="005D7291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</w:t>
      </w:r>
      <w:r w:rsidR="00886EA6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and </w:t>
      </w:r>
      <w:r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with missing data</w:t>
      </w:r>
      <w:r w:rsidR="00012E2C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, this research </w:t>
      </w:r>
      <w:r w:rsidR="00741B7A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also </w:t>
      </w:r>
      <w:r w:rsidR="00012E2C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has implications for ecology. This </w:t>
      </w:r>
      <w:r w:rsidR="006E1B23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study</w:t>
      </w:r>
      <w:r w:rsidR="00012E2C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clearly shows there is no simple</w:t>
      </w:r>
      <w:r w:rsidR="006367F3" w:rsidRPr="00D2145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rule of thumb used to </w:t>
      </w:r>
      <w:r w:rsidR="00FA7739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predict wave attenuation and highlights the importance of understanding coastal hydrodynamics</w:t>
      </w:r>
      <w:r w:rsidR="005D7291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</w:t>
      </w:r>
      <w:r w:rsidR="007A2F33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 bridging some of the information gaps between coastal engineers and ecologists.</w:t>
      </w:r>
    </w:p>
    <w:p w14:paraId="3E1E4415" w14:textId="2A26AF20" w:rsidR="007E4BD6" w:rsidRPr="00400773" w:rsidRDefault="007E4BD6" w:rsidP="0038096F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EF7C87">
        <w:rPr>
          <w:rFonts w:cs="Arial"/>
          <w:noProof/>
          <w:lang w:eastAsia="en-AU"/>
        </w:rPr>
        <w:drawing>
          <wp:inline distT="0" distB="0" distL="0" distR="0" wp14:anchorId="29191BC5" wp14:editId="25EEE2B3">
            <wp:extent cx="2900045" cy="2822143"/>
            <wp:effectExtent l="0" t="0" r="0" b="0"/>
            <wp:docPr id="22" name="Picture 2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&#10;&#10;Description automatically generated with medium confidenc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2" r="1840" b="1364"/>
                    <a:stretch/>
                  </pic:blipFill>
                  <pic:spPr bwMode="auto">
                    <a:xfrm>
                      <a:off x="0" y="0"/>
                      <a:ext cx="2900045" cy="2822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93D7E" w14:textId="5F8C037A" w:rsidR="00FA1E68" w:rsidRPr="00467C72" w:rsidRDefault="008B6510">
      <w:pPr>
        <w:spacing w:before="49" w:after="0" w:line="245" w:lineRule="auto"/>
        <w:ind w:right="69"/>
        <w:rPr>
          <w:rFonts w:ascii="Microsoft Sans Serif" w:eastAsia="Microsoft Sans Serif" w:hAnsi="Microsoft Sans Serif" w:cs="Microsoft Sans Serif"/>
          <w:sz w:val="18"/>
          <w:szCs w:val="18"/>
        </w:rPr>
      </w:pPr>
      <w:r w:rsidRPr="00467C72">
        <w:rPr>
          <w:rFonts w:ascii="Microsoft Sans Serif" w:eastAsia="Microsoft Sans Serif" w:hAnsi="Microsoft Sans Serif" w:cs="Microsoft Sans Serif"/>
          <w:spacing w:val="1"/>
          <w:sz w:val="18"/>
          <w:szCs w:val="18"/>
        </w:rPr>
        <w:t>Fig</w:t>
      </w:r>
      <w:r w:rsidRPr="00467C72">
        <w:rPr>
          <w:rFonts w:ascii="Microsoft Sans Serif" w:eastAsia="Microsoft Sans Serif" w:hAnsi="Microsoft Sans Serif" w:cs="Microsoft Sans Serif"/>
          <w:spacing w:val="-1"/>
          <w:sz w:val="18"/>
          <w:szCs w:val="18"/>
        </w:rPr>
        <w:t>u</w:t>
      </w:r>
      <w:r w:rsidRPr="00467C72">
        <w:rPr>
          <w:rFonts w:ascii="Microsoft Sans Serif" w:eastAsia="Microsoft Sans Serif" w:hAnsi="Microsoft Sans Serif" w:cs="Microsoft Sans Serif"/>
          <w:spacing w:val="2"/>
          <w:sz w:val="18"/>
          <w:szCs w:val="18"/>
        </w:rPr>
        <w:t>r</w:t>
      </w:r>
      <w:r w:rsidRPr="00467C72">
        <w:rPr>
          <w:rFonts w:ascii="Microsoft Sans Serif" w:eastAsia="Microsoft Sans Serif" w:hAnsi="Microsoft Sans Serif" w:cs="Microsoft Sans Serif"/>
          <w:sz w:val="18"/>
          <w:szCs w:val="18"/>
        </w:rPr>
        <w:t xml:space="preserve">e </w:t>
      </w:r>
      <w:r w:rsidRPr="00467C72">
        <w:rPr>
          <w:rFonts w:ascii="Microsoft Sans Serif" w:eastAsia="Microsoft Sans Serif" w:hAnsi="Microsoft Sans Serif" w:cs="Microsoft Sans Serif"/>
          <w:spacing w:val="12"/>
          <w:sz w:val="18"/>
          <w:szCs w:val="18"/>
        </w:rPr>
        <w:t xml:space="preserve"> </w:t>
      </w:r>
      <w:r w:rsidRPr="00467C72">
        <w:rPr>
          <w:rFonts w:ascii="Microsoft Sans Serif" w:eastAsia="Microsoft Sans Serif" w:hAnsi="Microsoft Sans Serif" w:cs="Microsoft Sans Serif"/>
          <w:sz w:val="18"/>
          <w:szCs w:val="18"/>
        </w:rPr>
        <w:t xml:space="preserve">1 </w:t>
      </w:r>
      <w:r w:rsidRPr="00467C72">
        <w:rPr>
          <w:rFonts w:ascii="Microsoft Sans Serif" w:eastAsia="Microsoft Sans Serif" w:hAnsi="Microsoft Sans Serif" w:cs="Microsoft Sans Serif"/>
          <w:spacing w:val="2"/>
          <w:sz w:val="18"/>
          <w:szCs w:val="18"/>
        </w:rPr>
        <w:t xml:space="preserve"> </w:t>
      </w:r>
      <w:r w:rsidRPr="00467C72">
        <w:rPr>
          <w:rFonts w:ascii="Microsoft Sans Serif" w:eastAsia="Microsoft Sans Serif" w:hAnsi="Microsoft Sans Serif" w:cs="Microsoft Sans Serif"/>
          <w:sz w:val="18"/>
          <w:szCs w:val="18"/>
        </w:rPr>
        <w:t>–</w:t>
      </w:r>
      <w:r w:rsidRPr="00467C72">
        <w:rPr>
          <w:rFonts w:ascii="Microsoft Sans Serif" w:eastAsia="Microsoft Sans Serif" w:hAnsi="Microsoft Sans Serif" w:cs="Microsoft Sans Serif"/>
          <w:spacing w:val="44"/>
          <w:sz w:val="18"/>
          <w:szCs w:val="18"/>
        </w:rPr>
        <w:t xml:space="preserve"> </w:t>
      </w:r>
      <w:r w:rsidR="00467C72" w:rsidRPr="00467C72">
        <w:rPr>
          <w:rFonts w:ascii="Microsoft Sans Serif" w:hAnsi="Microsoft Sans Serif" w:cs="Microsoft Sans Serif"/>
          <w:sz w:val="18"/>
          <w:szCs w:val="18"/>
        </w:rPr>
        <w:t>Contours of wave height reduction (%) over the distance of a seagrass meadow as a function of mean water depth (h, horizontal axis) and meadow length for (</w:t>
      </w:r>
      <w:r w:rsidR="00467C72" w:rsidRPr="00467C72">
        <w:rPr>
          <w:rFonts w:ascii="Microsoft Sans Serif" w:hAnsi="Microsoft Sans Serif" w:cs="Microsoft Sans Serif"/>
          <w:i/>
          <w:sz w:val="18"/>
          <w:szCs w:val="18"/>
        </w:rPr>
        <w:t>C</w:t>
      </w:r>
      <w:r w:rsidR="00467C72" w:rsidRPr="00467C72">
        <w:rPr>
          <w:rFonts w:ascii="Microsoft Sans Serif" w:hAnsi="Microsoft Sans Serif" w:cs="Microsoft Sans Serif"/>
          <w:i/>
          <w:sz w:val="18"/>
          <w:szCs w:val="18"/>
          <w:vertAlign w:val="subscript"/>
        </w:rPr>
        <w:t>D</w:t>
      </w:r>
      <w:r w:rsidR="00467C72" w:rsidRPr="00467C72">
        <w:rPr>
          <w:rFonts w:ascii="Microsoft Sans Serif" w:hAnsi="Microsoft Sans Serif" w:cs="Microsoft Sans Serif"/>
          <w:sz w:val="18"/>
          <w:szCs w:val="18"/>
        </w:rPr>
        <w:t xml:space="preserve"> = 0.74; </w:t>
      </w:r>
      <w:r w:rsidR="00467C72" w:rsidRPr="00467C72">
        <w:rPr>
          <w:rFonts w:ascii="Microsoft Sans Serif" w:hAnsi="Microsoft Sans Serif" w:cs="Microsoft Sans Serif"/>
          <w:i/>
          <w:sz w:val="18"/>
          <w:szCs w:val="18"/>
        </w:rPr>
        <w:t>h</w:t>
      </w:r>
      <w:r w:rsidR="00467C72" w:rsidRPr="00467C72">
        <w:rPr>
          <w:rFonts w:ascii="Microsoft Sans Serif" w:hAnsi="Microsoft Sans Serif" w:cs="Microsoft Sans Serif"/>
          <w:i/>
          <w:sz w:val="18"/>
          <w:szCs w:val="18"/>
          <w:vertAlign w:val="subscript"/>
        </w:rPr>
        <w:t>v</w:t>
      </w:r>
      <w:r w:rsidR="00467C72" w:rsidRPr="00467C72">
        <w:rPr>
          <w:rFonts w:ascii="Microsoft Sans Serif" w:hAnsi="Microsoft Sans Serif" w:cs="Microsoft Sans Serif"/>
          <w:sz w:val="18"/>
          <w:szCs w:val="18"/>
        </w:rPr>
        <w:t xml:space="preserve"> = 0.5 m, </w:t>
      </w:r>
      <w:r w:rsidR="00467C72" w:rsidRPr="00467C72">
        <w:rPr>
          <w:rFonts w:ascii="Microsoft Sans Serif" w:hAnsi="Microsoft Sans Serif" w:cs="Microsoft Sans Serif"/>
          <w:i/>
          <w:sz w:val="18"/>
          <w:szCs w:val="18"/>
        </w:rPr>
        <w:t>H</w:t>
      </w:r>
      <w:r w:rsidR="00467C72" w:rsidRPr="00467C72">
        <w:rPr>
          <w:rFonts w:ascii="Microsoft Sans Serif" w:hAnsi="Microsoft Sans Serif" w:cs="Microsoft Sans Serif"/>
          <w:i/>
          <w:sz w:val="18"/>
          <w:szCs w:val="18"/>
          <w:vertAlign w:val="subscript"/>
        </w:rPr>
        <w:t>rms1</w:t>
      </w:r>
      <w:r w:rsidR="00467C72" w:rsidRPr="00467C72">
        <w:rPr>
          <w:rFonts w:ascii="Microsoft Sans Serif" w:hAnsi="Microsoft Sans Serif" w:cs="Microsoft Sans Serif"/>
          <w:sz w:val="18"/>
          <w:szCs w:val="18"/>
        </w:rPr>
        <w:t xml:space="preserve"> = 0.5 m) and wave peak period (</w:t>
      </w:r>
      <w:r w:rsidR="00467C72" w:rsidRPr="00467C72">
        <w:rPr>
          <w:rFonts w:ascii="Microsoft Sans Serif" w:hAnsi="Microsoft Sans Serif" w:cs="Microsoft Sans Serif"/>
          <w:i/>
          <w:sz w:val="18"/>
          <w:szCs w:val="18"/>
        </w:rPr>
        <w:t>T</w:t>
      </w:r>
      <w:r w:rsidR="00467C72" w:rsidRPr="00467C72">
        <w:rPr>
          <w:rFonts w:ascii="Microsoft Sans Serif" w:hAnsi="Microsoft Sans Serif" w:cs="Microsoft Sans Serif"/>
          <w:i/>
          <w:sz w:val="18"/>
          <w:szCs w:val="18"/>
          <w:vertAlign w:val="subscript"/>
        </w:rPr>
        <w:t>P</w:t>
      </w:r>
      <w:r w:rsidR="00467C72" w:rsidRPr="00467C72">
        <w:rPr>
          <w:rFonts w:ascii="Microsoft Sans Serif" w:hAnsi="Microsoft Sans Serif" w:cs="Microsoft Sans Serif"/>
          <w:sz w:val="18"/>
          <w:szCs w:val="18"/>
        </w:rPr>
        <w:t xml:space="preserve"> = 4, 6, 20 s) and shoot density (</w:t>
      </w:r>
      <w:r w:rsidR="00467C72" w:rsidRPr="00467C72">
        <w:rPr>
          <w:rFonts w:ascii="Microsoft Sans Serif" w:hAnsi="Microsoft Sans Serif" w:cs="Microsoft Sans Serif"/>
          <w:i/>
          <w:sz w:val="18"/>
          <w:szCs w:val="18"/>
        </w:rPr>
        <w:t>N</w:t>
      </w:r>
      <w:r w:rsidR="00467C72" w:rsidRPr="00467C72">
        <w:rPr>
          <w:rFonts w:ascii="Microsoft Sans Serif" w:hAnsi="Microsoft Sans Serif" w:cs="Microsoft Sans Serif"/>
          <w:i/>
          <w:sz w:val="18"/>
          <w:szCs w:val="18"/>
          <w:vertAlign w:val="subscript"/>
        </w:rPr>
        <w:t>v</w:t>
      </w:r>
      <w:r w:rsidR="00467C72" w:rsidRPr="00467C72">
        <w:rPr>
          <w:rFonts w:ascii="Microsoft Sans Serif" w:hAnsi="Microsoft Sans Serif" w:cs="Microsoft Sans Serif"/>
          <w:sz w:val="18"/>
          <w:szCs w:val="18"/>
        </w:rPr>
        <w:t xml:space="preserve"> = 600, 1200, 1800 shoots m</w:t>
      </w:r>
      <w:r w:rsidR="00467C72" w:rsidRPr="00467C72">
        <w:rPr>
          <w:rFonts w:ascii="Microsoft Sans Serif" w:hAnsi="Microsoft Sans Serif" w:cs="Microsoft Sans Serif"/>
          <w:sz w:val="18"/>
          <w:szCs w:val="18"/>
          <w:vertAlign w:val="superscript"/>
        </w:rPr>
        <w:t>-2</w:t>
      </w:r>
      <w:r w:rsidR="00467C72" w:rsidRPr="00467C72">
        <w:rPr>
          <w:rFonts w:ascii="Microsoft Sans Serif" w:hAnsi="Microsoft Sans Serif" w:cs="Microsoft Sans Serif"/>
          <w:sz w:val="18"/>
          <w:szCs w:val="18"/>
        </w:rPr>
        <w:t>)</w:t>
      </w:r>
      <w:r w:rsidR="00566F4C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D07788">
        <w:rPr>
          <w:rFonts w:ascii="Microsoft Sans Serif" w:hAnsi="Microsoft Sans Serif" w:cs="Microsoft Sans Serif"/>
          <w:sz w:val="18"/>
          <w:szCs w:val="18"/>
        </w:rPr>
        <w:t>(Twomey et al.</w:t>
      </w:r>
      <w:r w:rsidR="00E66715">
        <w:rPr>
          <w:rFonts w:ascii="Microsoft Sans Serif" w:hAnsi="Microsoft Sans Serif" w:cs="Microsoft Sans Serif"/>
          <w:sz w:val="18"/>
          <w:szCs w:val="18"/>
        </w:rPr>
        <w:t xml:space="preserve"> 2020)</w:t>
      </w:r>
    </w:p>
    <w:p w14:paraId="0EE8B7F5" w14:textId="77777777" w:rsidR="00FA1E68" w:rsidRDefault="00FA1E68">
      <w:pPr>
        <w:spacing w:before="2" w:after="0" w:line="200" w:lineRule="exact"/>
        <w:rPr>
          <w:sz w:val="20"/>
          <w:szCs w:val="20"/>
        </w:rPr>
      </w:pPr>
    </w:p>
    <w:p w14:paraId="07BBF44D" w14:textId="10EC44A2" w:rsidR="000F674F" w:rsidRPr="00CC3D61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w w:val="102"/>
          <w:sz w:val="18"/>
          <w:szCs w:val="18"/>
        </w:rPr>
      </w:pP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F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A2442E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A2442E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C</w:t>
      </w:r>
      <w:r w:rsidRPr="00A2442E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A2442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</w:p>
    <w:p w14:paraId="22021870" w14:textId="0FE47BC4" w:rsidR="00CC3D61" w:rsidRPr="00C74CBE" w:rsidRDefault="00CC3D61" w:rsidP="00C74CBE">
      <w:pPr>
        <w:rPr>
          <w:rFonts w:ascii="Microsoft Sans Serif" w:eastAsia="Microsoft Sans Serif" w:hAnsi="Microsoft Sans Serif" w:cs="Microsoft Sans Serif"/>
          <w:w w:val="102"/>
          <w:sz w:val="18"/>
          <w:szCs w:val="17"/>
        </w:rPr>
      </w:pPr>
      <w:r w:rsidRPr="00C74CB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Dalrymple, R. A., Kirby, J. T. &amp; Hwang, P. A. 1984. Wave Diffraction Due to Areas of Energy Dissipation. </w:t>
      </w:r>
      <w:r w:rsidRPr="00C74CBE">
        <w:rPr>
          <w:rFonts w:ascii="Microsoft Sans Serif" w:eastAsia="Microsoft Sans Serif" w:hAnsi="Microsoft Sans Serif" w:cs="Microsoft Sans Serif"/>
          <w:i/>
          <w:iCs/>
          <w:w w:val="102"/>
          <w:sz w:val="18"/>
          <w:szCs w:val="17"/>
        </w:rPr>
        <w:t>Journal of Waterway, Port, Coastal, and Ocean Engineering</w:t>
      </w:r>
      <w:r w:rsidRPr="00C74CB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 110, 67-79.</w:t>
      </w:r>
    </w:p>
    <w:p w14:paraId="535C8C8C" w14:textId="538FBDA0" w:rsidR="000F674F" w:rsidRPr="00D07788" w:rsidRDefault="00CC3D61" w:rsidP="00C74CBE">
      <w:pPr>
        <w:rPr>
          <w:rFonts w:ascii="Microsoft Sans Serif" w:eastAsia="Microsoft Sans Serif" w:hAnsi="Microsoft Sans Serif" w:cs="Microsoft Sans Serif"/>
          <w:w w:val="102"/>
          <w:sz w:val="18"/>
          <w:szCs w:val="17"/>
        </w:rPr>
      </w:pPr>
      <w:r w:rsidRPr="00C74CB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 xml:space="preserve">Twomey, A. J., O'Brien, K. R., Callaghan, D. P. &amp; Saunders, M. I. 2020. Synthesising wave attenuation for seagrass: Drag coefficient as a unifying indicator. </w:t>
      </w:r>
      <w:r w:rsidRPr="00C74CBE">
        <w:rPr>
          <w:rFonts w:ascii="Microsoft Sans Serif" w:eastAsia="Microsoft Sans Serif" w:hAnsi="Microsoft Sans Serif" w:cs="Microsoft Sans Serif"/>
          <w:i/>
          <w:iCs/>
          <w:w w:val="102"/>
          <w:sz w:val="18"/>
          <w:szCs w:val="17"/>
        </w:rPr>
        <w:t>Marine Pollution Bulletin</w:t>
      </w:r>
      <w:r w:rsidRPr="00C74CBE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, 160, 111661.</w:t>
      </w:r>
    </w:p>
    <w:sectPr w:rsidR="000F674F" w:rsidRPr="00D07788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AEEC" w14:textId="77777777" w:rsidR="008C3987" w:rsidRDefault="008C3987" w:rsidP="0013413D">
      <w:pPr>
        <w:spacing w:after="0" w:line="240" w:lineRule="auto"/>
      </w:pPr>
      <w:r>
        <w:separator/>
      </w:r>
    </w:p>
  </w:endnote>
  <w:endnote w:type="continuationSeparator" w:id="0">
    <w:p w14:paraId="537887CD" w14:textId="77777777" w:rsidR="008C3987" w:rsidRDefault="008C3987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9EA0" w14:textId="77777777" w:rsidR="00D07788" w:rsidRDefault="00D0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04B6" w14:textId="77777777" w:rsidR="00D07788" w:rsidRDefault="00D07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E2B4" w14:textId="77777777" w:rsidR="00D07788" w:rsidRDefault="00D0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101C" w14:textId="77777777" w:rsidR="008C3987" w:rsidRDefault="008C3987" w:rsidP="0013413D">
      <w:pPr>
        <w:spacing w:after="0" w:line="240" w:lineRule="auto"/>
      </w:pPr>
      <w:r>
        <w:separator/>
      </w:r>
    </w:p>
  </w:footnote>
  <w:footnote w:type="continuationSeparator" w:id="0">
    <w:p w14:paraId="0F34F8AC" w14:textId="77777777" w:rsidR="008C3987" w:rsidRDefault="008C3987" w:rsidP="0013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D287" w14:textId="77777777" w:rsidR="00D07788" w:rsidRDefault="00D0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3FBD" w14:textId="77777777" w:rsidR="00D07788" w:rsidRDefault="00D07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DE16" w14:textId="77777777" w:rsidR="00D07788" w:rsidRDefault="00D07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wNDSyNDEyMTW3MDdQ0lEKTi0uzszPAykwrgUA/vnFp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in Sectio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fpzf2vxzzxw2edpswp0f0rdt92fdxtvppp&quot;&gt;Postdoc-New&lt;record-ids&gt;&lt;item&gt;567&lt;/item&gt;&lt;/record-ids&gt;&lt;/item&gt;&lt;/Libraries&gt;"/>
  </w:docVars>
  <w:rsids>
    <w:rsidRoot w:val="00FA1E68"/>
    <w:rsid w:val="00012E2C"/>
    <w:rsid w:val="00013488"/>
    <w:rsid w:val="00062759"/>
    <w:rsid w:val="000B4729"/>
    <w:rsid w:val="000E4EE9"/>
    <w:rsid w:val="000F674F"/>
    <w:rsid w:val="0013248A"/>
    <w:rsid w:val="0013413D"/>
    <w:rsid w:val="00150542"/>
    <w:rsid w:val="0023629F"/>
    <w:rsid w:val="00245AF2"/>
    <w:rsid w:val="00250516"/>
    <w:rsid w:val="00284ADF"/>
    <w:rsid w:val="00285E21"/>
    <w:rsid w:val="0029161C"/>
    <w:rsid w:val="002B6643"/>
    <w:rsid w:val="002F2BDC"/>
    <w:rsid w:val="00371B44"/>
    <w:rsid w:val="0038096F"/>
    <w:rsid w:val="003926F6"/>
    <w:rsid w:val="003A4975"/>
    <w:rsid w:val="00400773"/>
    <w:rsid w:val="004206B7"/>
    <w:rsid w:val="00467C72"/>
    <w:rsid w:val="004A6CDB"/>
    <w:rsid w:val="004C3EEC"/>
    <w:rsid w:val="004D36B0"/>
    <w:rsid w:val="004D6436"/>
    <w:rsid w:val="0053617E"/>
    <w:rsid w:val="00541319"/>
    <w:rsid w:val="00566F4C"/>
    <w:rsid w:val="005D7291"/>
    <w:rsid w:val="005E1658"/>
    <w:rsid w:val="005F4070"/>
    <w:rsid w:val="005F577A"/>
    <w:rsid w:val="006041DE"/>
    <w:rsid w:val="006323C3"/>
    <w:rsid w:val="006367F3"/>
    <w:rsid w:val="006417ED"/>
    <w:rsid w:val="006D066F"/>
    <w:rsid w:val="006E1B23"/>
    <w:rsid w:val="0071000F"/>
    <w:rsid w:val="0072430C"/>
    <w:rsid w:val="00741B7A"/>
    <w:rsid w:val="00755BA7"/>
    <w:rsid w:val="007A2F33"/>
    <w:rsid w:val="007E4BD6"/>
    <w:rsid w:val="007F6B38"/>
    <w:rsid w:val="00821090"/>
    <w:rsid w:val="008267A4"/>
    <w:rsid w:val="00841026"/>
    <w:rsid w:val="00886EA6"/>
    <w:rsid w:val="008B2F9C"/>
    <w:rsid w:val="008B3C48"/>
    <w:rsid w:val="008B6510"/>
    <w:rsid w:val="008C3987"/>
    <w:rsid w:val="008D3CC7"/>
    <w:rsid w:val="009161B3"/>
    <w:rsid w:val="00923EF4"/>
    <w:rsid w:val="00977636"/>
    <w:rsid w:val="00996A43"/>
    <w:rsid w:val="009C21C4"/>
    <w:rsid w:val="009E2B7B"/>
    <w:rsid w:val="00A2442E"/>
    <w:rsid w:val="00A630AB"/>
    <w:rsid w:val="00AE08B8"/>
    <w:rsid w:val="00B06A3E"/>
    <w:rsid w:val="00B67272"/>
    <w:rsid w:val="00B73AB8"/>
    <w:rsid w:val="00B807EE"/>
    <w:rsid w:val="00B94FDB"/>
    <w:rsid w:val="00C74CBE"/>
    <w:rsid w:val="00CC3D61"/>
    <w:rsid w:val="00CE1A93"/>
    <w:rsid w:val="00D07788"/>
    <w:rsid w:val="00D258EB"/>
    <w:rsid w:val="00D7657C"/>
    <w:rsid w:val="00D84777"/>
    <w:rsid w:val="00E00537"/>
    <w:rsid w:val="00E12CE0"/>
    <w:rsid w:val="00E66715"/>
    <w:rsid w:val="00F415ED"/>
    <w:rsid w:val="00F722DE"/>
    <w:rsid w:val="00FA1E68"/>
    <w:rsid w:val="00FA7739"/>
    <w:rsid w:val="00FB269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character" w:styleId="UnresolvedMention">
    <w:name w:val="Unresolved Mention"/>
    <w:basedOn w:val="DefaultParagraphFont"/>
    <w:uiPriority w:val="99"/>
    <w:semiHidden/>
    <w:unhideWhenUsed/>
    <w:rsid w:val="002F2BDC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CC3D61"/>
    <w:pPr>
      <w:widowControl/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C3D61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566F4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6F4C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callaghan@uq.edu.a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.obrien@uq.edu.au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mailto:a.twomey@uq.edu.a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gan.saunders@csiro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Alice Twomey</cp:lastModifiedBy>
  <cp:revision>72</cp:revision>
  <cp:lastPrinted>2022-08-08T04:00:00Z</cp:lastPrinted>
  <dcterms:created xsi:type="dcterms:W3CDTF">2022-05-03T00:34:00Z</dcterms:created>
  <dcterms:modified xsi:type="dcterms:W3CDTF">2022-08-08T04:13:00Z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  <property fmtid="{D5CDD505-2E9C-101B-9397-08002B2CF9AE}" pid="4" name="MSIP_Label_0f488380-630a-4f55-a077-a19445e3f360_Enabled">
    <vt:lpwstr>true</vt:lpwstr>
  </property>
  <property fmtid="{D5CDD505-2E9C-101B-9397-08002B2CF9AE}" pid="5" name="MSIP_Label_0f488380-630a-4f55-a077-a19445e3f360_SetDate">
    <vt:lpwstr>2022-05-03T00:28:12Z</vt:lpwstr>
  </property>
  <property fmtid="{D5CDD505-2E9C-101B-9397-08002B2CF9AE}" pid="6" name="MSIP_Label_0f488380-630a-4f55-a077-a19445e3f360_Method">
    <vt:lpwstr>Standard</vt:lpwstr>
  </property>
  <property fmtid="{D5CDD505-2E9C-101B-9397-08002B2CF9AE}" pid="7" name="MSIP_Label_0f488380-630a-4f55-a077-a19445e3f360_Name">
    <vt:lpwstr>OFFICIAL - INTERNAL</vt:lpwstr>
  </property>
  <property fmtid="{D5CDD505-2E9C-101B-9397-08002B2CF9AE}" pid="8" name="MSIP_Label_0f488380-630a-4f55-a077-a19445e3f360_SiteId">
    <vt:lpwstr>b6e377cf-9db3-46cb-91a2-fad9605bb15c</vt:lpwstr>
  </property>
  <property fmtid="{D5CDD505-2E9C-101B-9397-08002B2CF9AE}" pid="9" name="MSIP_Label_0f488380-630a-4f55-a077-a19445e3f360_ActionId">
    <vt:lpwstr>001e8eeb-294b-4a10-a394-cc888150b38b</vt:lpwstr>
  </property>
  <property fmtid="{D5CDD505-2E9C-101B-9397-08002B2CF9AE}" pid="10" name="MSIP_Label_0f488380-630a-4f55-a077-a19445e3f360_ContentBits">
    <vt:lpwstr>0</vt:lpwstr>
  </property>
</Properties>
</file>